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A4" w:rsidRPr="00C764A4" w:rsidRDefault="00C764A4" w:rsidP="00C764A4">
      <w:pPr>
        <w:spacing w:after="0" w:line="240" w:lineRule="auto"/>
        <w:ind w:left="60" w:right="1200"/>
        <w:rPr>
          <w:rFonts w:eastAsia="Times New Roman" w:cstheme="minorHAnsi"/>
          <w:sz w:val="40"/>
          <w:szCs w:val="40"/>
          <w:lang w:eastAsia="en-GB"/>
        </w:rPr>
      </w:pPr>
      <w:r w:rsidRPr="00C764A4">
        <w:rPr>
          <w:rFonts w:eastAsia="Times New Roman" w:cstheme="minorHAnsi"/>
          <w:sz w:val="40"/>
          <w:szCs w:val="40"/>
          <w:lang w:eastAsia="en-GB"/>
        </w:rPr>
        <w:t xml:space="preserve">Information available from </w:t>
      </w:r>
      <w:r w:rsidR="00C0385B" w:rsidRPr="00C0385B">
        <w:rPr>
          <w:rFonts w:eastAsia="Times New Roman" w:cstheme="minorHAnsi"/>
          <w:b/>
          <w:color w:val="76923C" w:themeColor="accent3" w:themeShade="BF"/>
          <w:sz w:val="40"/>
          <w:szCs w:val="40"/>
          <w:lang w:eastAsia="en-GB"/>
        </w:rPr>
        <w:t>Radford Medical Practice</w:t>
      </w:r>
      <w:r w:rsidRPr="00C764A4">
        <w:rPr>
          <w:rFonts w:eastAsia="Times New Roman" w:cstheme="minorHAnsi"/>
          <w:i/>
          <w:color w:val="76923C" w:themeColor="accent3" w:themeShade="BF"/>
          <w:sz w:val="40"/>
          <w:szCs w:val="40"/>
          <w:lang w:eastAsia="en-GB"/>
        </w:rPr>
        <w:t xml:space="preserve"> </w:t>
      </w:r>
      <w:r w:rsidRPr="00C764A4">
        <w:rPr>
          <w:rFonts w:eastAsia="Times New Roman" w:cstheme="minorHAnsi"/>
          <w:i/>
          <w:sz w:val="40"/>
          <w:szCs w:val="40"/>
          <w:lang w:eastAsia="en-GB"/>
        </w:rPr>
        <w:t>providing medical services under contract to the NHS or to HSC Northern Ireland</w:t>
      </w:r>
      <w:r w:rsidRPr="00C764A4">
        <w:rPr>
          <w:rFonts w:eastAsia="Times New Roman" w:cstheme="minorHAnsi"/>
          <w:sz w:val="40"/>
          <w:szCs w:val="40"/>
          <w:lang w:eastAsia="en-GB"/>
        </w:rPr>
        <w:t>) under the Freedom of Information Act model publication scheme</w:t>
      </w:r>
    </w:p>
    <w:p w:rsidR="00C764A4" w:rsidRPr="00C764A4" w:rsidRDefault="00C764A4" w:rsidP="00C764A4">
      <w:pPr>
        <w:spacing w:after="0" w:line="240" w:lineRule="auto"/>
        <w:rPr>
          <w:rFonts w:eastAsia="Times New Roman" w:cstheme="minorHAnsi"/>
          <w:b/>
          <w:sz w:val="28"/>
          <w:szCs w:val="28"/>
          <w:lang w:eastAsia="en-GB"/>
        </w:rPr>
      </w:pPr>
    </w:p>
    <w:p w:rsidR="00C764A4" w:rsidRPr="00C764A4" w:rsidRDefault="00C764A4" w:rsidP="00C764A4">
      <w:pPr>
        <w:autoSpaceDE w:val="0"/>
        <w:autoSpaceDN w:val="0"/>
        <w:adjustRightInd w:val="0"/>
        <w:spacing w:after="0" w:line="240" w:lineRule="auto"/>
        <w:ind w:right="1200"/>
        <w:rPr>
          <w:rFonts w:eastAsia="Times New Roman" w:cstheme="minorHAnsi"/>
          <w:color w:val="000000"/>
          <w:sz w:val="24"/>
          <w:szCs w:val="24"/>
          <w:lang w:eastAsia="en-GB"/>
        </w:rPr>
      </w:pPr>
      <w:r w:rsidRPr="00C764A4">
        <w:rPr>
          <w:rFonts w:eastAsia="Times New Roman" w:cstheme="minorHAnsi"/>
          <w:color w:val="000000"/>
          <w:sz w:val="24"/>
          <w:szCs w:val="24"/>
          <w:lang w:eastAsia="en-GB"/>
        </w:rPr>
        <w:t xml:space="preserve">Information covered by this scheme is only about the primary medical services we provide under contract to the National Health Service or to Health and Social Care Northern Ireland. </w:t>
      </w:r>
    </w:p>
    <w:p w:rsidR="00C764A4" w:rsidRPr="00C764A4" w:rsidRDefault="00C764A4" w:rsidP="00C764A4">
      <w:pPr>
        <w:spacing w:after="0" w:line="240" w:lineRule="auto"/>
        <w:rPr>
          <w:rFonts w:eastAsia="Times New Roman" w:cstheme="minorHAnsi"/>
          <w:b/>
          <w:sz w:val="24"/>
          <w:szCs w:val="24"/>
          <w:lang w:eastAsia="en-GB"/>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3119"/>
        <w:gridCol w:w="1014"/>
        <w:gridCol w:w="1014"/>
      </w:tblGrid>
      <w:tr w:rsidR="00C764A4" w:rsidRPr="00C764A4" w:rsidTr="003A66EE">
        <w:trPr>
          <w:trHeight w:val="958"/>
        </w:trPr>
        <w:tc>
          <w:tcPr>
            <w:tcW w:w="8755" w:type="dxa"/>
            <w:shd w:val="clear" w:color="auto" w:fill="auto"/>
          </w:tcPr>
          <w:p w:rsidR="00C764A4" w:rsidRPr="00C764A4" w:rsidRDefault="00C764A4" w:rsidP="00C764A4">
            <w:pPr>
              <w:spacing w:after="0" w:line="240" w:lineRule="auto"/>
              <w:rPr>
                <w:rFonts w:eastAsia="Times New Roman" w:cstheme="minorHAnsi"/>
                <w:sz w:val="28"/>
                <w:szCs w:val="28"/>
                <w:lang w:eastAsia="en-GB"/>
              </w:rPr>
            </w:pPr>
            <w:r w:rsidRPr="00C764A4">
              <w:rPr>
                <w:rFonts w:eastAsia="Times New Roman" w:cstheme="minorHAnsi"/>
                <w:b/>
                <w:sz w:val="28"/>
                <w:szCs w:val="28"/>
                <w:lang w:eastAsia="en-GB"/>
              </w:rPr>
              <w:t>Information to be published</w:t>
            </w:r>
          </w:p>
        </w:tc>
        <w:tc>
          <w:tcPr>
            <w:tcW w:w="3119" w:type="dxa"/>
            <w:shd w:val="clear" w:color="auto" w:fill="auto"/>
          </w:tcPr>
          <w:p w:rsidR="00C764A4" w:rsidRPr="00C764A4" w:rsidRDefault="00C764A4" w:rsidP="00C764A4">
            <w:pPr>
              <w:spacing w:after="0" w:line="240" w:lineRule="auto"/>
              <w:rPr>
                <w:rFonts w:eastAsia="Times New Roman" w:cstheme="minorHAnsi"/>
                <w:b/>
                <w:sz w:val="28"/>
                <w:szCs w:val="28"/>
                <w:lang w:eastAsia="en-GB"/>
              </w:rPr>
            </w:pPr>
            <w:r w:rsidRPr="00C764A4">
              <w:rPr>
                <w:rFonts w:eastAsia="Times New Roman" w:cstheme="minorHAnsi"/>
                <w:b/>
                <w:sz w:val="28"/>
                <w:szCs w:val="28"/>
                <w:lang w:eastAsia="en-GB"/>
              </w:rPr>
              <w:t>How the information can be obtained</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w:t>
            </w:r>
            <w:proofErr w:type="spellStart"/>
            <w:r w:rsidRPr="00C764A4">
              <w:rPr>
                <w:rFonts w:eastAsia="Times New Roman" w:cstheme="minorHAnsi"/>
                <w:sz w:val="24"/>
                <w:szCs w:val="24"/>
                <w:lang w:eastAsia="en-GB"/>
              </w:rPr>
              <w:t>eg</w:t>
            </w:r>
            <w:proofErr w:type="spellEnd"/>
            <w:r w:rsidRPr="00C764A4">
              <w:rPr>
                <w:rFonts w:eastAsia="Times New Roman" w:cstheme="minorHAnsi"/>
                <w:sz w:val="24"/>
                <w:szCs w:val="24"/>
                <w:lang w:eastAsia="en-GB"/>
              </w:rPr>
              <w:t xml:space="preserve"> hard copy, website)</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b/>
                <w:sz w:val="28"/>
                <w:szCs w:val="28"/>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8"/>
                <w:szCs w:val="28"/>
                <w:lang w:eastAsia="en-GB"/>
              </w:rPr>
            </w:pPr>
            <w:r w:rsidRPr="00C764A4">
              <w:rPr>
                <w:rFonts w:eastAsia="Times New Roman" w:cstheme="minorHAnsi"/>
                <w:b/>
                <w:sz w:val="28"/>
                <w:szCs w:val="28"/>
                <w:lang w:eastAsia="en-GB"/>
              </w:rPr>
              <w:t>Cost</w:t>
            </w:r>
          </w:p>
        </w:tc>
      </w:tr>
      <w:tr w:rsidR="00C764A4" w:rsidRPr="00C764A4" w:rsidTr="003A66EE">
        <w:trPr>
          <w:trHeight w:val="1493"/>
        </w:trPr>
        <w:tc>
          <w:tcPr>
            <w:tcW w:w="8755" w:type="dxa"/>
            <w:shd w:val="clear" w:color="auto" w:fill="auto"/>
          </w:tcPr>
          <w:p w:rsidR="00C764A4" w:rsidRPr="00C764A4" w:rsidRDefault="00C764A4" w:rsidP="00C764A4">
            <w:pPr>
              <w:spacing w:after="0" w:line="240" w:lineRule="auto"/>
              <w:rPr>
                <w:rFonts w:eastAsia="Times New Roman" w:cstheme="minorHAnsi"/>
                <w:b/>
                <w:sz w:val="32"/>
                <w:szCs w:val="32"/>
                <w:lang w:eastAsia="en-GB"/>
              </w:rPr>
            </w:pPr>
            <w:r w:rsidRPr="00C764A4">
              <w:rPr>
                <w:rFonts w:eastAsia="Times New Roman" w:cstheme="minorHAnsi"/>
                <w:b/>
                <w:sz w:val="32"/>
                <w:szCs w:val="32"/>
                <w:lang w:eastAsia="en-GB"/>
              </w:rPr>
              <w:t>Class 1 - Who we are and what we do</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(Organisational information, structures, locations and contacts)</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This will be current information only</w:t>
            </w:r>
            <w:r w:rsidRPr="00C764A4">
              <w:rPr>
                <w:rFonts w:eastAsia="Times New Roman" w:cstheme="minorHAnsi"/>
                <w:sz w:val="24"/>
                <w:szCs w:val="24"/>
                <w:lang w:eastAsia="en-GB"/>
              </w:rPr>
              <w:tab/>
            </w:r>
            <w:r w:rsidRPr="00C764A4">
              <w:rPr>
                <w:rFonts w:eastAsia="Times New Roman" w:cstheme="minorHAnsi"/>
                <w:sz w:val="24"/>
                <w:szCs w:val="24"/>
                <w:lang w:eastAsia="en-GB"/>
              </w:rPr>
              <w:tab/>
            </w: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335"/>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Doctors in the practice</w:t>
            </w:r>
          </w:p>
        </w:tc>
        <w:tc>
          <w:tcPr>
            <w:tcW w:w="3119" w:type="dxa"/>
            <w:shd w:val="clear" w:color="auto" w:fill="auto"/>
          </w:tcPr>
          <w:p w:rsid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p w:rsidR="00C0385B" w:rsidRDefault="00C0385B" w:rsidP="00C764A4">
            <w:pPr>
              <w:spacing w:after="0" w:line="240" w:lineRule="auto"/>
              <w:rPr>
                <w:rFonts w:eastAsia="Times New Roman" w:cstheme="minorHAnsi"/>
                <w:sz w:val="24"/>
                <w:szCs w:val="24"/>
                <w:lang w:eastAsia="en-GB"/>
              </w:rPr>
            </w:pPr>
          </w:p>
          <w:p w:rsidR="00C0385B" w:rsidRDefault="00C0385B" w:rsidP="00C764A4">
            <w:pPr>
              <w:spacing w:after="0" w:line="240" w:lineRule="auto"/>
              <w:rPr>
                <w:rFonts w:eastAsia="Times New Roman" w:cstheme="minorHAnsi"/>
                <w:sz w:val="24"/>
                <w:szCs w:val="24"/>
                <w:lang w:eastAsia="en-GB"/>
              </w:rPr>
            </w:pPr>
            <w:hyperlink r:id="rId5" w:history="1">
              <w:r w:rsidRPr="00762F5E">
                <w:rPr>
                  <w:rStyle w:val="Hyperlink"/>
                  <w:rFonts w:eastAsia="Times New Roman" w:cstheme="minorHAnsi"/>
                  <w:sz w:val="24"/>
                  <w:szCs w:val="24"/>
                  <w:lang w:eastAsia="en-GB"/>
                </w:rPr>
                <w:t>www.radfordmedicalpractice.co.uk</w:t>
              </w:r>
            </w:hyperlink>
          </w:p>
          <w:p w:rsidR="00C0385B" w:rsidRPr="00C764A4" w:rsidRDefault="00C0385B"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538"/>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Contact details for the practice (named contacts where possible with telephone number and email address (if used))</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325"/>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Opening hours</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270"/>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Other staffing details</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270"/>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Meetings specifically with pharmaceutical companies and other medical suppliers. We would expect as a minimum that this information should include the name of the company, the date and, if appropriate, the name of the member(s) of staff attending (if recorded), together with a general indication of the category of meeting, for example marketing or promotion. The names of staff attending should include any senior managers and any medically qualified staff if this information is recorded.</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0385B" w:rsidRDefault="00C0385B" w:rsidP="00C764A4">
            <w:pPr>
              <w:spacing w:after="0" w:line="240" w:lineRule="auto"/>
              <w:rPr>
                <w:rFonts w:eastAsia="Times New Roman" w:cstheme="minorHAnsi"/>
                <w:sz w:val="24"/>
                <w:szCs w:val="24"/>
                <w:lang w:eastAsia="en-GB"/>
              </w:rPr>
            </w:pPr>
          </w:p>
          <w:p w:rsidR="00C0385B" w:rsidRDefault="00C0385B" w:rsidP="00C764A4">
            <w:pPr>
              <w:spacing w:after="0" w:line="240" w:lineRule="auto"/>
              <w:rPr>
                <w:rFonts w:eastAsia="Times New Roman" w:cstheme="minorHAnsi"/>
                <w:sz w:val="24"/>
                <w:szCs w:val="24"/>
                <w:lang w:eastAsia="en-GB"/>
              </w:rPr>
            </w:pPr>
            <w:hyperlink r:id="rId6" w:history="1">
              <w:r w:rsidRPr="00762F5E">
                <w:rPr>
                  <w:rStyle w:val="Hyperlink"/>
                  <w:rFonts w:eastAsia="Times New Roman" w:cstheme="minorHAnsi"/>
                  <w:sz w:val="24"/>
                  <w:szCs w:val="24"/>
                  <w:lang w:eastAsia="en-GB"/>
                </w:rPr>
                <w:t>Karen.murch@nhs.net</w:t>
              </w:r>
            </w:hyperlink>
          </w:p>
          <w:p w:rsidR="00C0385B" w:rsidRPr="00C764A4" w:rsidRDefault="00C0385B"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1515"/>
        </w:trPr>
        <w:tc>
          <w:tcPr>
            <w:tcW w:w="8755" w:type="dxa"/>
            <w:shd w:val="clear" w:color="auto" w:fill="auto"/>
          </w:tcPr>
          <w:p w:rsidR="00C764A4" w:rsidRPr="00C764A4" w:rsidRDefault="00C764A4" w:rsidP="00C764A4">
            <w:pPr>
              <w:spacing w:after="0" w:line="240" w:lineRule="auto"/>
              <w:rPr>
                <w:rFonts w:eastAsia="Times New Roman" w:cstheme="minorHAnsi"/>
                <w:b/>
                <w:sz w:val="32"/>
                <w:szCs w:val="32"/>
                <w:lang w:eastAsia="en-GB"/>
              </w:rPr>
            </w:pPr>
            <w:r w:rsidRPr="00C764A4">
              <w:rPr>
                <w:rFonts w:eastAsia="Times New Roman" w:cstheme="minorHAnsi"/>
                <w:b/>
                <w:sz w:val="32"/>
                <w:szCs w:val="32"/>
                <w:lang w:eastAsia="en-GB"/>
              </w:rPr>
              <w:t>Class 2 – What we spend and how we spend it</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(Financial information relating to projected and actual income and expenditure, procurement, contracts and financial audit)</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 and previous financial year as a minimum</w:t>
            </w: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305"/>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0385B" w:rsidRDefault="00C764A4" w:rsidP="00C0385B">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lastRenderedPageBreak/>
              <w:t>Details on NHS/HSC funding received by the practice.</w:t>
            </w:r>
            <w:r w:rsidR="00C0385B">
              <w:rPr>
                <w:rFonts w:eastAsia="Times New Roman" w:cstheme="minorHAnsi"/>
                <w:sz w:val="24"/>
                <w:szCs w:val="24"/>
                <w:lang w:eastAsia="en-GB"/>
              </w:rPr>
              <w:t xml:space="preserve"> </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 xml:space="preserve">We would expect practices to consider publishing as much information as practically possible including as much detail as possible. </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Default="00C764A4" w:rsidP="00C764A4">
            <w:pPr>
              <w:spacing w:after="0" w:line="240" w:lineRule="auto"/>
              <w:rPr>
                <w:rFonts w:eastAsia="Times New Roman" w:cstheme="minorHAnsi"/>
                <w:sz w:val="24"/>
                <w:szCs w:val="24"/>
                <w:lang w:eastAsia="en-GB"/>
              </w:rPr>
            </w:pPr>
          </w:p>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Upon written request to the Practice Manager</w:t>
            </w:r>
          </w:p>
          <w:p w:rsidR="00C0385B" w:rsidRPr="00C764A4" w:rsidRDefault="00C0385B"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Default="00C764A4" w:rsidP="00C764A4">
            <w:pPr>
              <w:spacing w:after="0" w:line="240" w:lineRule="auto"/>
              <w:rPr>
                <w:rFonts w:eastAsia="Times New Roman" w:cstheme="minorHAnsi"/>
                <w:sz w:val="24"/>
                <w:szCs w:val="24"/>
                <w:lang w:eastAsia="en-GB"/>
              </w:rPr>
            </w:pPr>
          </w:p>
          <w:p w:rsidR="00C0385B"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TBA</w:t>
            </w:r>
          </w:p>
        </w:tc>
      </w:tr>
      <w:tr w:rsidR="00C764A4" w:rsidRPr="00C764A4" w:rsidTr="003A66EE">
        <w:trPr>
          <w:trHeight w:val="188"/>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 xml:space="preserve">Audit of NHS/HSC income </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188"/>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Details of expenditure items over £10,000 - published at least annually but at a more frequent quarterly or six-monthly interval where practical.</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1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List and value of contracts awarded by the practice. We would normally only expect the practice to publish details of contracts that are of sufficient size to have gone through a formal tendering process.</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1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Staff allowances and expenses that can be incurred or claimed, with totals paid to senior staff members (for the purpose of this document, senior staff are defined as partners or equivalent level), by references to categories.</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1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Pay policy</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1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lastRenderedPageBreak/>
              <w:t>Declaration of GPs’ NHS/HSC income.</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The information made available as part of GPs’ contractual obligation to publish their net income relating to NHS/HSC contracts, once this obligation is in force. A link may be provided to the information on a third party website, and /or a description of where this information is available.</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 xml:space="preserve"> </w:t>
            </w:r>
          </w:p>
        </w:tc>
        <w:tc>
          <w:tcPr>
            <w:tcW w:w="3119" w:type="dxa"/>
            <w:shd w:val="clear" w:color="auto" w:fill="auto"/>
          </w:tcPr>
          <w:p w:rsidR="00C764A4" w:rsidRDefault="00C764A4" w:rsidP="00C764A4">
            <w:pPr>
              <w:spacing w:after="0" w:line="240" w:lineRule="auto"/>
              <w:rPr>
                <w:rFonts w:eastAsia="Times New Roman" w:cstheme="minorHAnsi"/>
                <w:sz w:val="24"/>
                <w:szCs w:val="24"/>
                <w:lang w:eastAsia="en-GB"/>
              </w:rPr>
            </w:pPr>
          </w:p>
          <w:p w:rsidR="00C0385B"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Default="00C764A4" w:rsidP="00C764A4">
            <w:pPr>
              <w:spacing w:after="0" w:line="240" w:lineRule="auto"/>
              <w:rPr>
                <w:rFonts w:eastAsia="Times New Roman" w:cstheme="minorHAnsi"/>
                <w:sz w:val="24"/>
                <w:szCs w:val="24"/>
                <w:lang w:eastAsia="en-GB"/>
              </w:rPr>
            </w:pPr>
          </w:p>
          <w:p w:rsidR="00C0385B"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nil</w:t>
            </w:r>
          </w:p>
        </w:tc>
      </w:tr>
      <w:tr w:rsidR="00C764A4" w:rsidRPr="00C764A4" w:rsidTr="003A66EE">
        <w:trPr>
          <w:trHeight w:val="183"/>
        </w:trPr>
        <w:tc>
          <w:tcPr>
            <w:tcW w:w="8755" w:type="dxa"/>
            <w:shd w:val="clear" w:color="auto" w:fill="auto"/>
          </w:tcPr>
          <w:p w:rsidR="00C764A4" w:rsidRPr="00C764A4" w:rsidRDefault="00C764A4" w:rsidP="00C764A4">
            <w:pPr>
              <w:spacing w:after="0" w:line="240" w:lineRule="auto"/>
              <w:rPr>
                <w:rFonts w:eastAsia="Times New Roman" w:cstheme="minorHAnsi"/>
                <w:b/>
                <w:sz w:val="32"/>
                <w:szCs w:val="32"/>
                <w:lang w:eastAsia="en-GB"/>
              </w:rPr>
            </w:pPr>
            <w:r w:rsidRPr="00C764A4">
              <w:rPr>
                <w:rFonts w:eastAsia="Times New Roman" w:cstheme="minorHAnsi"/>
                <w:b/>
                <w:sz w:val="32"/>
                <w:szCs w:val="32"/>
                <w:lang w:eastAsia="en-GB"/>
              </w:rPr>
              <w:lastRenderedPageBreak/>
              <w:t>Class 3 – What our priorities are and how we are doing</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(Strategies and plans, performance indicators, audits, inspections and reviews)</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 and previous year as a minimum</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28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Plans for the development and provision of NHS/HSC services</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209"/>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Performance data including performance against targets</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Inspection reports by regulators: the CQC, HIW, RQIA and HSCB and any other regulators.</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b/>
                <w:sz w:val="32"/>
                <w:szCs w:val="32"/>
                <w:lang w:eastAsia="en-GB"/>
              </w:rPr>
            </w:pPr>
            <w:r w:rsidRPr="00C764A4">
              <w:rPr>
                <w:rFonts w:eastAsia="Times New Roman" w:cstheme="minorHAnsi"/>
                <w:b/>
                <w:sz w:val="32"/>
                <w:szCs w:val="32"/>
                <w:lang w:eastAsia="en-GB"/>
              </w:rPr>
              <w:t>Class 4 – How we make decisions</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lastRenderedPageBreak/>
              <w:t>(Decision making processes and records of decisions)</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 and previous year as a minimum</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17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Records of decisions made in the practice affecting the provision of NHS/HSC services.</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b/>
                <w:sz w:val="32"/>
                <w:szCs w:val="32"/>
                <w:lang w:eastAsia="en-GB"/>
              </w:rPr>
            </w:pPr>
            <w:r w:rsidRPr="00C764A4">
              <w:rPr>
                <w:rFonts w:eastAsia="Times New Roman" w:cstheme="minorHAnsi"/>
                <w:b/>
                <w:sz w:val="32"/>
                <w:szCs w:val="32"/>
                <w:lang w:eastAsia="en-GB"/>
              </w:rPr>
              <w:t>Class 5 – Our policies and procedures</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 written protocols, policies and procedures for delivering our services and responsibilities)</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 information only.</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ind w:right="1200"/>
              <w:rPr>
                <w:rFonts w:eastAsia="Times New Roman" w:cstheme="minorHAnsi"/>
                <w:sz w:val="24"/>
                <w:szCs w:val="24"/>
                <w:lang w:eastAsia="en-GB"/>
              </w:rPr>
            </w:pPr>
            <w:r w:rsidRPr="00C764A4">
              <w:rPr>
                <w:rFonts w:eastAsia="Times New Roman" w:cstheme="minorHAnsi"/>
                <w:sz w:val="24"/>
                <w:szCs w:val="24"/>
                <w:lang w:eastAsia="en-GB"/>
              </w:rPr>
              <w:t xml:space="preserve">Here we have listed the policies we would expect practices to have. Any additional policies should also be listed. </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 xml:space="preserve">Mark “not held” against any policies that are not actually held. </w:t>
            </w: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Policies and procedures about customer service</w:t>
            </w:r>
          </w:p>
          <w:p w:rsidR="00C764A4" w:rsidRPr="00C764A4" w:rsidRDefault="00C764A4" w:rsidP="00C764A4">
            <w:pPr>
              <w:spacing w:after="0" w:line="240" w:lineRule="auto"/>
              <w:rPr>
                <w:rFonts w:eastAsia="Times New Roman" w:cstheme="minorHAnsi"/>
                <w:b/>
                <w:sz w:val="32"/>
                <w:szCs w:val="32"/>
                <w:lang w:eastAsia="en-GB"/>
              </w:rPr>
            </w:pP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Internal instructions to staff and policies relating to the delivery of services</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Policies and procedures about the recruitment and employment of staff</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Equality and diversity policy</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Health and safety policy</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36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Complaints procedures (including those covering requests for information and operating the publication scheme)</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233"/>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Records management policies (records retention, destruction and archive)</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 xml:space="preserve">Data protection policies </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Policies and procedures for handling requests for information</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b/>
                <w:sz w:val="32"/>
                <w:szCs w:val="32"/>
                <w:lang w:eastAsia="en-GB"/>
              </w:rPr>
              <w:t>Class 6 – Lists and Registers</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Currently maintained lists and registers only</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b/>
                <w:sz w:val="24"/>
                <w:szCs w:val="24"/>
                <w:lang w:eastAsia="en-GB"/>
              </w:rPr>
            </w:pPr>
            <w:r w:rsidRPr="00C764A4">
              <w:rPr>
                <w:rFonts w:eastAsia="Times New Roman" w:cstheme="minorHAnsi"/>
                <w:sz w:val="24"/>
                <w:szCs w:val="24"/>
                <w:lang w:eastAsia="en-GB"/>
              </w:rPr>
              <w:t xml:space="preserve">We recognise that it is unlikely that GPs are going to have registers available for public </w:t>
            </w:r>
            <w:r w:rsidRPr="00C764A4">
              <w:rPr>
                <w:rFonts w:eastAsia="Times New Roman" w:cstheme="minorHAnsi"/>
                <w:sz w:val="24"/>
                <w:szCs w:val="24"/>
                <w:lang w:eastAsia="en-GB"/>
              </w:rPr>
              <w:lastRenderedPageBreak/>
              <w:t>inspection and while this remains the case “none held” can be entered in this section.</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None held</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Any publicly available register or list (if any are held this should be publicised; in most circumstances existing access provisions will suffice).</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None held</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b/>
                <w:sz w:val="32"/>
                <w:szCs w:val="32"/>
                <w:lang w:eastAsia="en-GB"/>
              </w:rPr>
              <w:t>Class 7 – The services we offer</w:t>
            </w: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(Information about the services we offer, including leaflets, guidance and newsletters produced for the public)</w:t>
            </w:r>
          </w:p>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Current information only</w:t>
            </w:r>
          </w:p>
          <w:p w:rsidR="00C764A4" w:rsidRPr="00C764A4" w:rsidRDefault="00C764A4" w:rsidP="00C764A4">
            <w:pPr>
              <w:spacing w:after="0" w:line="240" w:lineRule="auto"/>
              <w:rPr>
                <w:rFonts w:eastAsia="Times New Roman" w:cstheme="minorHAnsi"/>
                <w:sz w:val="24"/>
                <w:szCs w:val="24"/>
                <w:lang w:eastAsia="en-GB"/>
              </w:rPr>
            </w:pPr>
          </w:p>
        </w:tc>
        <w:tc>
          <w:tcPr>
            <w:tcW w:w="3119"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The services provided under contract to the NHS/HSC</w:t>
            </w:r>
          </w:p>
        </w:tc>
        <w:tc>
          <w:tcPr>
            <w:tcW w:w="3119" w:type="dxa"/>
            <w:shd w:val="clear" w:color="auto" w:fill="auto"/>
          </w:tcPr>
          <w:p w:rsidR="00C0385B" w:rsidRDefault="00C0385B" w:rsidP="00C0385B">
            <w:pPr>
              <w:spacing w:after="0" w:line="240" w:lineRule="auto"/>
              <w:rPr>
                <w:rFonts w:eastAsia="Times New Roman" w:cstheme="minorHAnsi"/>
                <w:sz w:val="24"/>
                <w:szCs w:val="24"/>
                <w:lang w:eastAsia="en-GB"/>
              </w:rPr>
            </w:pPr>
            <w:r>
              <w:rPr>
                <w:rFonts w:eastAsia="Times New Roman" w:cstheme="minorHAnsi"/>
                <w:sz w:val="24"/>
                <w:szCs w:val="24"/>
                <w:lang w:eastAsia="en-GB"/>
              </w:rPr>
              <w:t>Upon written request to the Practice Manager</w:t>
            </w:r>
          </w:p>
          <w:p w:rsidR="00C764A4" w:rsidRPr="00C764A4" w:rsidRDefault="00C764A4" w:rsidP="00C764A4">
            <w:pPr>
              <w:spacing w:after="0" w:line="240" w:lineRule="auto"/>
              <w:rPr>
                <w:rFonts w:eastAsia="Times New Roman" w:cstheme="minorHAnsi"/>
                <w:sz w:val="24"/>
                <w:szCs w:val="24"/>
                <w:lang w:eastAsia="en-GB"/>
              </w:rPr>
            </w:pP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TBA</w:t>
            </w: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Charges for any of these services</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Information leaflets</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p>
        </w:tc>
      </w:tr>
      <w:tr w:rsidR="00C764A4" w:rsidRPr="00C764A4" w:rsidTr="003A66EE">
        <w:trPr>
          <w:trHeight w:val="137"/>
        </w:trPr>
        <w:tc>
          <w:tcPr>
            <w:tcW w:w="8755" w:type="dxa"/>
            <w:shd w:val="clear" w:color="auto" w:fill="auto"/>
          </w:tcPr>
          <w:p w:rsidR="00C764A4" w:rsidRPr="00C764A4" w:rsidRDefault="00C764A4" w:rsidP="00C764A4">
            <w:pPr>
              <w:spacing w:after="0" w:line="240" w:lineRule="auto"/>
              <w:rPr>
                <w:rFonts w:eastAsia="Times New Roman" w:cstheme="minorHAnsi"/>
                <w:sz w:val="24"/>
                <w:szCs w:val="24"/>
                <w:lang w:eastAsia="en-GB"/>
              </w:rPr>
            </w:pPr>
          </w:p>
          <w:p w:rsidR="00C764A4" w:rsidRPr="00C764A4" w:rsidRDefault="00C764A4" w:rsidP="00C764A4">
            <w:pPr>
              <w:spacing w:after="0" w:line="240" w:lineRule="auto"/>
              <w:rPr>
                <w:rFonts w:eastAsia="Times New Roman" w:cstheme="minorHAnsi"/>
                <w:sz w:val="24"/>
                <w:szCs w:val="24"/>
                <w:lang w:eastAsia="en-GB"/>
              </w:rPr>
            </w:pPr>
            <w:r w:rsidRPr="00C764A4">
              <w:rPr>
                <w:rFonts w:eastAsia="Times New Roman" w:cstheme="minorHAnsi"/>
                <w:sz w:val="24"/>
                <w:szCs w:val="24"/>
                <w:lang w:eastAsia="en-GB"/>
              </w:rPr>
              <w:t>Out of hours arrangements</w:t>
            </w:r>
          </w:p>
        </w:tc>
        <w:tc>
          <w:tcPr>
            <w:tcW w:w="3119"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Practice website</w:t>
            </w:r>
          </w:p>
        </w:tc>
        <w:tc>
          <w:tcPr>
            <w:tcW w:w="1014" w:type="dxa"/>
          </w:tcPr>
          <w:p w:rsidR="00C764A4" w:rsidRPr="00C764A4" w:rsidRDefault="00C764A4" w:rsidP="00C764A4">
            <w:pPr>
              <w:spacing w:after="0" w:line="240" w:lineRule="auto"/>
              <w:rPr>
                <w:rFonts w:eastAsia="Times New Roman" w:cstheme="minorHAnsi"/>
                <w:sz w:val="24"/>
                <w:szCs w:val="24"/>
                <w:lang w:eastAsia="en-GB"/>
              </w:rPr>
            </w:pPr>
          </w:p>
        </w:tc>
        <w:tc>
          <w:tcPr>
            <w:tcW w:w="1014" w:type="dxa"/>
            <w:shd w:val="clear" w:color="auto" w:fill="auto"/>
          </w:tcPr>
          <w:p w:rsidR="00C764A4" w:rsidRPr="00C764A4" w:rsidRDefault="00C0385B" w:rsidP="00C764A4">
            <w:pPr>
              <w:spacing w:after="0" w:line="240" w:lineRule="auto"/>
              <w:rPr>
                <w:rFonts w:eastAsia="Times New Roman" w:cstheme="minorHAnsi"/>
                <w:sz w:val="24"/>
                <w:szCs w:val="24"/>
                <w:lang w:eastAsia="en-GB"/>
              </w:rPr>
            </w:pPr>
            <w:r>
              <w:rPr>
                <w:rFonts w:eastAsia="Times New Roman" w:cstheme="minorHAnsi"/>
                <w:sz w:val="24"/>
                <w:szCs w:val="24"/>
                <w:lang w:eastAsia="en-GB"/>
              </w:rPr>
              <w:t>nil</w:t>
            </w:r>
            <w:bookmarkStart w:id="0" w:name="_GoBack"/>
            <w:bookmarkEnd w:id="0"/>
          </w:p>
        </w:tc>
      </w:tr>
    </w:tbl>
    <w:p w:rsidR="00C764A4" w:rsidRPr="00C764A4" w:rsidRDefault="00C764A4" w:rsidP="00C764A4">
      <w:pPr>
        <w:spacing w:after="0" w:line="240" w:lineRule="auto"/>
        <w:rPr>
          <w:rFonts w:eastAsia="Times New Roman" w:cstheme="minorHAnsi"/>
          <w:b/>
          <w:sz w:val="24"/>
          <w:szCs w:val="24"/>
          <w:lang w:eastAsia="en-GB"/>
        </w:rPr>
      </w:pPr>
    </w:p>
    <w:p w:rsidR="00C21638" w:rsidRPr="00C0385B" w:rsidRDefault="00C21638">
      <w:pPr>
        <w:rPr>
          <w:rFonts w:cstheme="minorHAnsi"/>
        </w:rPr>
      </w:pPr>
    </w:p>
    <w:sectPr w:rsidR="00C21638" w:rsidRPr="00C0385B" w:rsidSect="005E6BE1">
      <w:headerReference w:type="default" r:id="rId7"/>
      <w:footerReference w:type="default" r:id="rId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6B" w:rsidRDefault="00C0385B" w:rsidP="00BF38FA">
    <w:pPr>
      <w:pStyle w:val="Footer"/>
      <w:rPr>
        <w:rFonts w:ascii="Verdana" w:hAnsi="Verdana"/>
      </w:rPr>
    </w:pPr>
    <w:r w:rsidRPr="00B90564">
      <w:rPr>
        <w:rFonts w:ascii="Verdana" w:hAnsi="Verdana"/>
      </w:rPr>
      <w:t>Template guide to information for GPs</w:t>
    </w:r>
  </w:p>
  <w:p w:rsidR="00F8366B" w:rsidRDefault="00C0385B" w:rsidP="00BF38FA">
    <w:pPr>
      <w:pStyle w:val="Footer"/>
      <w:rPr>
        <w:rFonts w:ascii="Verdana" w:hAnsi="Verdana"/>
      </w:rPr>
    </w:pPr>
    <w:r>
      <w:rPr>
        <w:rFonts w:ascii="Verdana" w:hAnsi="Verdana"/>
      </w:rPr>
      <w:t>Version 2</w:t>
    </w:r>
  </w:p>
  <w:p w:rsidR="00F8366B" w:rsidRPr="00B90564" w:rsidRDefault="00C0385B" w:rsidP="00BF38FA">
    <w:pPr>
      <w:pStyle w:val="Footer"/>
      <w:rPr>
        <w:rFonts w:ascii="Verdana" w:hAnsi="Verdana"/>
      </w:rPr>
    </w:pPr>
    <w:r>
      <w:rPr>
        <w:rFonts w:ascii="Verdana" w:hAnsi="Verdana"/>
      </w:rPr>
      <w:t>201409</w:t>
    </w:r>
    <w:r>
      <w:rPr>
        <w:rFonts w:ascii="Verdana" w:hAnsi="Verdana"/>
      </w:rPr>
      <w:t>16</w:t>
    </w:r>
  </w:p>
  <w:p w:rsidR="00F8366B" w:rsidRPr="00464F8C" w:rsidRDefault="00C0385B">
    <w:pPr>
      <w:pStyle w:val="Footer"/>
      <w:jc w:val="right"/>
      <w:rPr>
        <w:rFonts w:ascii="Verdana" w:hAnsi="Verdana"/>
      </w:rPr>
    </w:pPr>
    <w:r w:rsidRPr="00464F8C">
      <w:rPr>
        <w:rFonts w:ascii="Verdana" w:hAnsi="Verdana"/>
      </w:rPr>
      <w:fldChar w:fldCharType="begin"/>
    </w:r>
    <w:r w:rsidRPr="00464F8C">
      <w:rPr>
        <w:rFonts w:ascii="Verdana" w:hAnsi="Verdana"/>
      </w:rPr>
      <w:instrText xml:space="preserve"> PAGE   \* MERGEFORMAT </w:instrText>
    </w:r>
    <w:r w:rsidRPr="00464F8C">
      <w:rPr>
        <w:rFonts w:ascii="Verdana" w:hAnsi="Verdana"/>
      </w:rPr>
      <w:fldChar w:fldCharType="separate"/>
    </w:r>
    <w:r>
      <w:rPr>
        <w:rFonts w:ascii="Verdana" w:hAnsi="Verdana"/>
        <w:noProof/>
      </w:rPr>
      <w:t>1</w:t>
    </w:r>
    <w:r w:rsidRPr="00464F8C">
      <w:rPr>
        <w:rFonts w:ascii="Verdana" w:hAnsi="Verdana"/>
        <w:noProof/>
      </w:rPr>
      <w:fldChar w:fldCharType="end"/>
    </w:r>
  </w:p>
  <w:p w:rsidR="00F8366B" w:rsidRPr="00B90564" w:rsidRDefault="00C0385B">
    <w:pPr>
      <w:pStyle w:val="Footer"/>
      <w:rPr>
        <w:rFonts w:ascii="Verdana" w:hAnsi="Verdan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6B" w:rsidRDefault="00C764A4">
    <w:pPr>
      <w:pStyle w:val="Header"/>
    </w:pPr>
    <w:r>
      <w:rPr>
        <w:noProof/>
        <w:lang w:eastAsia="en-GB"/>
      </w:rPr>
      <w:drawing>
        <wp:inline distT="0" distB="0" distL="0" distR="0">
          <wp:extent cx="2414905" cy="14535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453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A4"/>
    <w:rsid w:val="00C0385B"/>
    <w:rsid w:val="00C21638"/>
    <w:rsid w:val="00C7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4A4"/>
  </w:style>
  <w:style w:type="paragraph" w:styleId="Footer">
    <w:name w:val="footer"/>
    <w:basedOn w:val="Normal"/>
    <w:link w:val="FooterChar"/>
    <w:uiPriority w:val="99"/>
    <w:semiHidden/>
    <w:unhideWhenUsed/>
    <w:rsid w:val="00C764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64A4"/>
  </w:style>
  <w:style w:type="paragraph" w:styleId="BalloonText">
    <w:name w:val="Balloon Text"/>
    <w:basedOn w:val="Normal"/>
    <w:link w:val="BalloonTextChar"/>
    <w:uiPriority w:val="99"/>
    <w:semiHidden/>
    <w:unhideWhenUsed/>
    <w:rsid w:val="00C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A4"/>
    <w:rPr>
      <w:rFonts w:ascii="Tahoma" w:hAnsi="Tahoma" w:cs="Tahoma"/>
      <w:sz w:val="16"/>
      <w:szCs w:val="16"/>
    </w:rPr>
  </w:style>
  <w:style w:type="character" w:styleId="Hyperlink">
    <w:name w:val="Hyperlink"/>
    <w:basedOn w:val="DefaultParagraphFont"/>
    <w:uiPriority w:val="99"/>
    <w:unhideWhenUsed/>
    <w:rsid w:val="00C03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64A4"/>
  </w:style>
  <w:style w:type="paragraph" w:styleId="Footer">
    <w:name w:val="footer"/>
    <w:basedOn w:val="Normal"/>
    <w:link w:val="FooterChar"/>
    <w:uiPriority w:val="99"/>
    <w:semiHidden/>
    <w:unhideWhenUsed/>
    <w:rsid w:val="00C764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64A4"/>
  </w:style>
  <w:style w:type="paragraph" w:styleId="BalloonText">
    <w:name w:val="Balloon Text"/>
    <w:basedOn w:val="Normal"/>
    <w:link w:val="BalloonTextChar"/>
    <w:uiPriority w:val="99"/>
    <w:semiHidden/>
    <w:unhideWhenUsed/>
    <w:rsid w:val="00C7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A4"/>
    <w:rPr>
      <w:rFonts w:ascii="Tahoma" w:hAnsi="Tahoma" w:cs="Tahoma"/>
      <w:sz w:val="16"/>
      <w:szCs w:val="16"/>
    </w:rPr>
  </w:style>
  <w:style w:type="character" w:styleId="Hyperlink">
    <w:name w:val="Hyperlink"/>
    <w:basedOn w:val="DefaultParagraphFont"/>
    <w:uiPriority w:val="99"/>
    <w:unhideWhenUsed/>
    <w:rsid w:val="00C03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en.murch@nhs.net" TargetMode="External"/><Relationship Id="rId5" Type="http://schemas.openxmlformats.org/officeDocument/2006/relationships/hyperlink" Target="http://www.radfordmedicalpractic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Murch Karen - Practice Manager - C84117</dc:creator>
  <cp:lastModifiedBy>Murch Karen - Practice Manager - C84117</cp:lastModifiedBy>
  <cp:revision>2</cp:revision>
  <dcterms:created xsi:type="dcterms:W3CDTF">2021-06-14T15:26:00Z</dcterms:created>
  <dcterms:modified xsi:type="dcterms:W3CDTF">2021-06-14T15:34:00Z</dcterms:modified>
</cp:coreProperties>
</file>